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7F20E" w14:textId="77777777" w:rsidR="00397565" w:rsidRPr="00C347FC" w:rsidRDefault="00000000">
      <w:pPr>
        <w:spacing w:after="60" w:line="288" w:lineRule="auto"/>
        <w:jc w:val="center"/>
        <w:rPr>
          <w:rFonts w:ascii="Calibri" w:hAnsi="Calibri" w:cs="Calibri"/>
        </w:rPr>
      </w:pPr>
      <w:r w:rsidRPr="00C347FC">
        <w:rPr>
          <w:rFonts w:ascii="Calibri" w:hAnsi="Calibri" w:cs="Calibri"/>
          <w:b/>
          <w:bCs/>
          <w:color w:val="1F3864"/>
          <w:sz w:val="30"/>
          <w:szCs w:val="30"/>
        </w:rPr>
        <w:t>KLAUZULA INFORMACYJNA</w:t>
      </w:r>
    </w:p>
    <w:p w14:paraId="56ADF1C1" w14:textId="77777777" w:rsidR="00397565" w:rsidRPr="00C347FC" w:rsidRDefault="00000000">
      <w:pPr>
        <w:spacing w:after="120" w:line="264" w:lineRule="auto"/>
        <w:jc w:val="center"/>
        <w:rPr>
          <w:rFonts w:ascii="Calibri" w:hAnsi="Calibri" w:cs="Calibri"/>
        </w:rPr>
      </w:pPr>
      <w:r w:rsidRPr="00C347FC">
        <w:rPr>
          <w:rFonts w:ascii="Calibri" w:hAnsi="Calibri" w:cs="Calibri"/>
          <w:i/>
          <w:iCs/>
          <w:color w:val="1F3864"/>
        </w:rPr>
        <w:t>dotycząca przetwarzania danych osobowych w związku z zawarciem i realizacją umowy oraz publikacją w Centralnym Rejestrze Umów Jednostek Sektora Finansów Publicznych (CRU JSFP)</w:t>
      </w:r>
    </w:p>
    <w:p w14:paraId="76BBF98F" w14:textId="51A9EFEC" w:rsidR="00397565" w:rsidRPr="00C347FC" w:rsidRDefault="00000000">
      <w:pPr>
        <w:pBdr>
          <w:top w:val="single" w:sz="6" w:space="6" w:color="C9A227"/>
          <w:left w:val="single" w:sz="18" w:space="8" w:color="C9A227"/>
          <w:bottom w:val="single" w:sz="6" w:space="6" w:color="C9A227"/>
          <w:right w:val="single" w:sz="6" w:space="6" w:color="C9A227"/>
        </w:pBdr>
        <w:shd w:val="clear" w:color="auto" w:fill="FBF6E7"/>
        <w:spacing w:after="200" w:line="264" w:lineRule="auto"/>
        <w:jc w:val="both"/>
        <w:rPr>
          <w:rFonts w:ascii="Calibri" w:hAnsi="Calibri" w:cs="Calibri"/>
        </w:rPr>
      </w:pPr>
      <w:r w:rsidRPr="00C347FC">
        <w:rPr>
          <w:rFonts w:ascii="Calibri" w:hAnsi="Calibri" w:cs="Calibri"/>
          <w:b/>
          <w:bCs/>
          <w:color w:val="1F3864"/>
        </w:rPr>
        <w:t xml:space="preserve">Zakres publikacji w CRU JSFP. </w:t>
      </w:r>
      <w:r w:rsidRPr="00C347FC">
        <w:rPr>
          <w:rFonts w:ascii="Calibri" w:hAnsi="Calibri" w:cs="Calibri"/>
        </w:rPr>
        <w:t xml:space="preserve">Publikacja informacji o umowie w Centralnym Rejestrze Umów JSFP dotyczy wyłącznie umów podlegających rejestracji na podstawie art. 34a–34b ustawy z dnia 27 sierpnia 2009 r. o finansach publicznych (Dz. U. z 2025 r. poz. 1483 z </w:t>
      </w:r>
      <w:proofErr w:type="spellStart"/>
      <w:r w:rsidRPr="00C347FC">
        <w:rPr>
          <w:rFonts w:ascii="Calibri" w:hAnsi="Calibri" w:cs="Calibri"/>
        </w:rPr>
        <w:t>późn</w:t>
      </w:r>
      <w:proofErr w:type="spellEnd"/>
      <w:r w:rsidRPr="00C347FC">
        <w:rPr>
          <w:rFonts w:ascii="Calibri" w:hAnsi="Calibri" w:cs="Calibri"/>
        </w:rPr>
        <w:t>. zm.) oraz rozporządzenia Ministra Finansów i Gospodarki z dnia 30 marca 2026 r. w sprawie Centralnego Rejestru Umów Jednostek Sektora Finansów Publicznych (Dz. U. z 2026 r. poz. 440). Postanowienia niniejszej klauzuli odnoszące się do CRU JSFP mają zastosowanie tylko do takich umów.</w:t>
      </w:r>
    </w:p>
    <w:p w14:paraId="2461CC9A" w14:textId="77777777" w:rsidR="00397565" w:rsidRPr="00C347FC" w:rsidRDefault="00000000" w:rsidP="00AA75B2">
      <w:pPr>
        <w:spacing w:after="40" w:line="264" w:lineRule="auto"/>
        <w:jc w:val="both"/>
        <w:rPr>
          <w:rFonts w:ascii="Calibri" w:hAnsi="Calibri" w:cs="Calibri"/>
        </w:rPr>
      </w:pPr>
      <w:r w:rsidRPr="00C347FC">
        <w:rPr>
          <w:rFonts w:ascii="Calibri" w:hAnsi="Calibri" w:cs="Calibri"/>
        </w:rP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(RODO) informujemy, że:</w:t>
      </w:r>
    </w:p>
    <w:p w14:paraId="56F2E7EA" w14:textId="4D97B415" w:rsidR="00397565" w:rsidRPr="00C347FC" w:rsidRDefault="00000000" w:rsidP="00AA75B2">
      <w:pPr>
        <w:pStyle w:val="Akapitzlist"/>
        <w:numPr>
          <w:ilvl w:val="0"/>
          <w:numId w:val="2"/>
        </w:numPr>
        <w:spacing w:after="40" w:line="264" w:lineRule="auto"/>
        <w:jc w:val="both"/>
        <w:rPr>
          <w:rFonts w:ascii="Calibri" w:hAnsi="Calibri" w:cs="Calibri"/>
        </w:rPr>
      </w:pPr>
      <w:r w:rsidRPr="00C347FC">
        <w:rPr>
          <w:rFonts w:ascii="Calibri" w:hAnsi="Calibri" w:cs="Calibri"/>
          <w:b/>
          <w:bCs/>
          <w:color w:val="1F3864"/>
        </w:rPr>
        <w:t xml:space="preserve">Administrator danych osobowych. </w:t>
      </w:r>
      <w:r w:rsidRPr="00C347FC">
        <w:rPr>
          <w:rFonts w:ascii="Calibri" w:hAnsi="Calibri" w:cs="Calibri"/>
        </w:rPr>
        <w:t xml:space="preserve">Administratorem Pani/Pana danych osobowych jest </w:t>
      </w:r>
      <w:r w:rsidR="007623E2" w:rsidRPr="00C347FC">
        <w:rPr>
          <w:rFonts w:ascii="Calibri" w:hAnsi="Calibri" w:cs="Calibri"/>
          <w:b/>
        </w:rPr>
        <w:t xml:space="preserve">Gmina </w:t>
      </w:r>
      <w:r w:rsidR="007623E2" w:rsidRPr="00C347FC">
        <w:rPr>
          <w:rFonts w:ascii="Calibri" w:hAnsi="Calibri" w:cs="Calibri"/>
          <w:b/>
          <w:bCs/>
        </w:rPr>
        <w:t>Somianka</w:t>
      </w:r>
      <w:r w:rsidR="007623E2" w:rsidRPr="00C347FC">
        <w:rPr>
          <w:rFonts w:ascii="Calibri" w:hAnsi="Calibri" w:cs="Calibri"/>
          <w:b/>
        </w:rPr>
        <w:t xml:space="preserve">, reprezentowana przez Wójta Gminy </w:t>
      </w:r>
      <w:r w:rsidR="007623E2" w:rsidRPr="00C347FC">
        <w:rPr>
          <w:rFonts w:ascii="Calibri" w:hAnsi="Calibri" w:cs="Calibri"/>
          <w:b/>
          <w:bCs/>
        </w:rPr>
        <w:t>Somianka,</w:t>
      </w:r>
      <w:r w:rsidR="007623E2" w:rsidRPr="00C347FC">
        <w:rPr>
          <w:rFonts w:ascii="Calibri" w:hAnsi="Calibri" w:cs="Calibri"/>
          <w:b/>
        </w:rPr>
        <w:t xml:space="preserve"> z siedzibą: </w:t>
      </w:r>
      <w:r w:rsidR="007623E2" w:rsidRPr="00C347FC">
        <w:rPr>
          <w:rFonts w:ascii="Calibri" w:hAnsi="Calibri" w:cs="Calibri"/>
          <w:b/>
          <w:bCs/>
        </w:rPr>
        <w:t xml:space="preserve">w Somiance przy ul. Armii Krajowej 4, 07 - 203 Somianka, </w:t>
      </w:r>
      <w:r w:rsidR="007623E2" w:rsidRPr="00AA75B2">
        <w:rPr>
          <w:rFonts w:ascii="Calibri" w:hAnsi="Calibri" w:cs="Calibri"/>
          <w:bCs/>
        </w:rPr>
        <w:t>tel. (29) 74 187 90</w:t>
      </w:r>
      <w:r w:rsidRPr="00AA75B2">
        <w:rPr>
          <w:rFonts w:ascii="Calibri" w:hAnsi="Calibri" w:cs="Calibri"/>
          <w:bCs/>
        </w:rPr>
        <w:t>, adres</w:t>
      </w:r>
      <w:r w:rsidRPr="00C347FC">
        <w:rPr>
          <w:rFonts w:ascii="Calibri" w:hAnsi="Calibri" w:cs="Calibri"/>
        </w:rPr>
        <w:t xml:space="preserve"> do e-doręczeń: </w:t>
      </w:r>
      <w:r w:rsidR="007623E2" w:rsidRPr="00C347FC">
        <w:rPr>
          <w:rFonts w:ascii="Calibri" w:hAnsi="Calibri" w:cs="Calibri"/>
        </w:rPr>
        <w:t>AE:PL-69352-61147-WSJAJ-12</w:t>
      </w:r>
      <w:r w:rsidR="007623E2" w:rsidRPr="00C347FC">
        <w:rPr>
          <w:rFonts w:ascii="Calibri" w:hAnsi="Calibri" w:cs="Calibri"/>
        </w:rPr>
        <w:t>.</w:t>
      </w:r>
    </w:p>
    <w:p w14:paraId="3FB7F026" w14:textId="1FF23D4D" w:rsidR="00397565" w:rsidRPr="00C347FC" w:rsidRDefault="00000000" w:rsidP="00AA75B2">
      <w:pPr>
        <w:pStyle w:val="Akapitzlist"/>
        <w:numPr>
          <w:ilvl w:val="0"/>
          <w:numId w:val="2"/>
        </w:numPr>
        <w:spacing w:after="40" w:line="264" w:lineRule="auto"/>
        <w:jc w:val="both"/>
        <w:rPr>
          <w:rFonts w:ascii="Calibri" w:hAnsi="Calibri" w:cs="Calibri"/>
        </w:rPr>
      </w:pPr>
      <w:r w:rsidRPr="00C347FC">
        <w:rPr>
          <w:rFonts w:ascii="Calibri" w:hAnsi="Calibri" w:cs="Calibri"/>
          <w:b/>
          <w:bCs/>
          <w:color w:val="1F3864"/>
        </w:rPr>
        <w:t xml:space="preserve">Inspektor Ochrony Danych. </w:t>
      </w:r>
      <w:r w:rsidRPr="00C347FC">
        <w:rPr>
          <w:rFonts w:ascii="Calibri" w:hAnsi="Calibri" w:cs="Calibri"/>
        </w:rPr>
        <w:t xml:space="preserve">Administrator wyznaczył Inspektora Ochrony Danych, z którym można kontaktować się we wszystkich sprawach dotyczących przetwarzania danych osobowych oraz korzystania z praw związanych z przetwarzaniem: e-mail: </w:t>
      </w:r>
      <w:r w:rsidR="00A6229A" w:rsidRPr="00C347FC">
        <w:rPr>
          <w:rFonts w:ascii="Calibri" w:hAnsi="Calibri" w:cs="Calibri"/>
        </w:rPr>
        <w:t>iodap@epoczta.pl</w:t>
      </w:r>
      <w:r w:rsidRPr="00C347FC">
        <w:rPr>
          <w:rFonts w:ascii="Calibri" w:hAnsi="Calibri" w:cs="Calibri"/>
        </w:rPr>
        <w:t xml:space="preserve"> adres korespondencyjny: adres siedziby Administratora.</w:t>
      </w:r>
    </w:p>
    <w:p w14:paraId="0E84AA1D" w14:textId="77777777" w:rsidR="00397565" w:rsidRPr="00C347FC" w:rsidRDefault="00000000" w:rsidP="00AA75B2">
      <w:pPr>
        <w:pStyle w:val="Akapitzlist"/>
        <w:numPr>
          <w:ilvl w:val="0"/>
          <w:numId w:val="2"/>
        </w:numPr>
        <w:spacing w:after="40"/>
        <w:jc w:val="both"/>
        <w:rPr>
          <w:rFonts w:ascii="Calibri" w:hAnsi="Calibri" w:cs="Calibri"/>
        </w:rPr>
      </w:pPr>
      <w:r w:rsidRPr="00C347FC">
        <w:rPr>
          <w:rFonts w:ascii="Calibri" w:hAnsi="Calibri" w:cs="Calibri"/>
          <w:b/>
          <w:bCs/>
          <w:color w:val="1F3864"/>
        </w:rPr>
        <w:t xml:space="preserve">Cele i podstawa prawna przetwarzania. </w:t>
      </w:r>
      <w:r w:rsidRPr="00C347FC">
        <w:rPr>
          <w:rFonts w:ascii="Calibri" w:hAnsi="Calibri" w:cs="Calibri"/>
        </w:rPr>
        <w:t>Dane osobowe przetwarzane są w celu:</w:t>
      </w:r>
    </w:p>
    <w:p w14:paraId="127ED8E1" w14:textId="77777777" w:rsidR="00397565" w:rsidRPr="00C347FC" w:rsidRDefault="00000000" w:rsidP="00AA75B2">
      <w:pPr>
        <w:pStyle w:val="Akapitzlist"/>
        <w:numPr>
          <w:ilvl w:val="0"/>
          <w:numId w:val="3"/>
        </w:numPr>
        <w:spacing w:after="40" w:line="264" w:lineRule="auto"/>
        <w:ind w:left="850"/>
        <w:jc w:val="both"/>
        <w:rPr>
          <w:rFonts w:ascii="Calibri" w:hAnsi="Calibri" w:cs="Calibri"/>
        </w:rPr>
      </w:pPr>
      <w:r w:rsidRPr="00C347FC">
        <w:rPr>
          <w:rFonts w:ascii="Calibri" w:hAnsi="Calibri" w:cs="Calibri"/>
        </w:rPr>
        <w:t>zawarcia i wykonania umowy, w tym prowadzenia korespondencji oraz dokonania rozliczeń finansowych – na podstawie art. 6 ust. 1 lit. b RODO (gdy stroną umowy jest osoba fizyczna) oraz art. 6 ust. 1 lit. c i lit. e RODO w związku z przepisami o finansach publicznych i o zamówieniach publicznych;</w:t>
      </w:r>
    </w:p>
    <w:p w14:paraId="2752E803" w14:textId="77777777" w:rsidR="00397565" w:rsidRPr="00C347FC" w:rsidRDefault="00000000" w:rsidP="00AA75B2">
      <w:pPr>
        <w:pStyle w:val="Akapitzlist"/>
        <w:numPr>
          <w:ilvl w:val="0"/>
          <w:numId w:val="3"/>
        </w:numPr>
        <w:spacing w:after="40" w:line="264" w:lineRule="auto"/>
        <w:ind w:left="850"/>
        <w:jc w:val="both"/>
        <w:rPr>
          <w:rFonts w:ascii="Calibri" w:hAnsi="Calibri" w:cs="Calibri"/>
        </w:rPr>
      </w:pPr>
      <w:r w:rsidRPr="00C347FC">
        <w:rPr>
          <w:rFonts w:ascii="Calibri" w:hAnsi="Calibri" w:cs="Calibri"/>
        </w:rPr>
        <w:t>wypełnienia obowiązków prawnych ciążących na Administratorze w zakresie rachunkowości, rozliczeń podatkowych oraz archiwizacji dokumentacji – na podstawie art. 6 ust. 1 lit. c RODO w związku z przepisami o rachunkowości, prawa podatkowego oraz o narodowym zasobie archiwalnym i archiwach;</w:t>
      </w:r>
    </w:p>
    <w:p w14:paraId="329B7E60" w14:textId="77777777" w:rsidR="00397565" w:rsidRPr="00C347FC" w:rsidRDefault="00000000" w:rsidP="00AA75B2">
      <w:pPr>
        <w:pStyle w:val="Akapitzlist"/>
        <w:numPr>
          <w:ilvl w:val="0"/>
          <w:numId w:val="3"/>
        </w:numPr>
        <w:spacing w:after="40" w:line="264" w:lineRule="auto"/>
        <w:ind w:left="850"/>
        <w:jc w:val="both"/>
        <w:rPr>
          <w:rFonts w:ascii="Calibri" w:hAnsi="Calibri" w:cs="Calibri"/>
        </w:rPr>
      </w:pPr>
      <w:r w:rsidRPr="00C347FC">
        <w:rPr>
          <w:rFonts w:ascii="Calibri" w:hAnsi="Calibri" w:cs="Calibri"/>
        </w:rPr>
        <w:t>ustalenia, dochodzenia lub obrony roszczeń związanych z umową – na podstawie art. 6 ust. 1 lit. c i lit. e RODO;</w:t>
      </w:r>
    </w:p>
    <w:p w14:paraId="124C0710" w14:textId="77777777" w:rsidR="00397565" w:rsidRPr="00C347FC" w:rsidRDefault="00000000" w:rsidP="00AA75B2">
      <w:pPr>
        <w:pStyle w:val="Akapitzlist"/>
        <w:numPr>
          <w:ilvl w:val="0"/>
          <w:numId w:val="3"/>
        </w:numPr>
        <w:spacing w:after="40" w:line="264" w:lineRule="auto"/>
        <w:jc w:val="both"/>
        <w:rPr>
          <w:rFonts w:ascii="Calibri" w:hAnsi="Calibri" w:cs="Calibri"/>
        </w:rPr>
      </w:pPr>
      <w:r w:rsidRPr="00C347FC">
        <w:rPr>
          <w:rFonts w:ascii="Calibri" w:hAnsi="Calibri" w:cs="Calibri"/>
        </w:rPr>
        <w:t>w przypadku umów podlegających rejestracji w CRU JSFP – realizacji obowiązku udostępniania i aktualizacji informacji o umowach w Centralnym Rejestrze Umów JSFP oraz zapewnienia jawności i przejrzystości gospodarowania środkami publicznymi – na podstawie art. 6 ust. 1 lit. c i lit. e RODO w związku z art. 34a–34b ustawy o finansach publicznych oraz rozporządzeniem, o którym mowa powyżej.</w:t>
      </w:r>
    </w:p>
    <w:p w14:paraId="09B7B0A8" w14:textId="0F27C4C8" w:rsidR="00397565" w:rsidRPr="00C347FC" w:rsidRDefault="00000000" w:rsidP="00AA75B2">
      <w:pPr>
        <w:pStyle w:val="Akapitzlist"/>
        <w:numPr>
          <w:ilvl w:val="0"/>
          <w:numId w:val="2"/>
        </w:numPr>
        <w:spacing w:after="40" w:line="264" w:lineRule="auto"/>
        <w:jc w:val="both"/>
        <w:rPr>
          <w:rFonts w:ascii="Calibri" w:hAnsi="Calibri" w:cs="Calibri"/>
        </w:rPr>
      </w:pPr>
      <w:r w:rsidRPr="00C347FC">
        <w:rPr>
          <w:rFonts w:ascii="Calibri" w:hAnsi="Calibri" w:cs="Calibri"/>
          <w:b/>
          <w:bCs/>
          <w:color w:val="1F3864"/>
        </w:rPr>
        <w:t xml:space="preserve">Kategorie przetwarzanych danych. </w:t>
      </w:r>
      <w:r w:rsidRPr="00C347FC">
        <w:rPr>
          <w:rFonts w:ascii="Calibri" w:hAnsi="Calibri" w:cs="Calibri"/>
        </w:rPr>
        <w:t>Przetwarzane są dane niezbędne do zawarcia i wykonania umowy: imię i nazwisko strony lub osoby ją reprezentującej albo wyznaczonej do kontaktu, dane kontaktowe (adres, telefon, e-mail), a w przypadku przedsiębiorcy również nazwa, REGON, NIP i adres, dane niezbędne do rozliczeń (w tym numer rachunku bankowego) oraz dane dotyczące umowy (przedmiot, wartość, okres obowiązywania, status). W przypadku umów podlegających rejestracji w CRU JSFP publikacji w rejestrze podlega wyłącznie zakres danych określony w art. 34a ust. 7 ustawy o finansach publicznych; w odniesieniu do osoby fizycznej publikuje się wyłącznie imię i nazwisko, bez adresu zamieszkania.</w:t>
      </w:r>
    </w:p>
    <w:p w14:paraId="6700C737" w14:textId="3C652420" w:rsidR="00397565" w:rsidRPr="00C347FC" w:rsidRDefault="00000000" w:rsidP="00AA75B2">
      <w:pPr>
        <w:pStyle w:val="Akapitzlist"/>
        <w:numPr>
          <w:ilvl w:val="0"/>
          <w:numId w:val="2"/>
        </w:numPr>
        <w:spacing w:after="40" w:line="264" w:lineRule="auto"/>
        <w:jc w:val="both"/>
        <w:rPr>
          <w:rFonts w:ascii="Calibri" w:hAnsi="Calibri" w:cs="Calibri"/>
        </w:rPr>
      </w:pPr>
      <w:r w:rsidRPr="00C347FC">
        <w:rPr>
          <w:rFonts w:ascii="Calibri" w:hAnsi="Calibri" w:cs="Calibri"/>
          <w:b/>
          <w:bCs/>
          <w:color w:val="1F3864"/>
        </w:rPr>
        <w:t xml:space="preserve">Źródło danych. </w:t>
      </w:r>
      <w:r w:rsidRPr="00C347FC">
        <w:rPr>
          <w:rFonts w:ascii="Calibri" w:hAnsi="Calibri" w:cs="Calibri"/>
        </w:rPr>
        <w:t>W przypadku danych pozyskanych w sposób inny niż od osoby, której dane dotyczą (art. 14 RODO), dane pochodzą z zawartej umowy, od strony umowy oraz z publicznie dostępnych rejestrów (REGON, CEIDG, KRS).</w:t>
      </w:r>
    </w:p>
    <w:p w14:paraId="23E76CF0" w14:textId="77777777" w:rsidR="00397565" w:rsidRPr="00C347FC" w:rsidRDefault="00000000" w:rsidP="00AA75B2">
      <w:pPr>
        <w:pStyle w:val="Akapitzlist"/>
        <w:numPr>
          <w:ilvl w:val="0"/>
          <w:numId w:val="2"/>
        </w:numPr>
        <w:spacing w:after="40" w:line="264" w:lineRule="auto"/>
        <w:jc w:val="both"/>
        <w:rPr>
          <w:rFonts w:ascii="Calibri" w:hAnsi="Calibri" w:cs="Calibri"/>
        </w:rPr>
      </w:pPr>
      <w:r w:rsidRPr="00C347FC">
        <w:rPr>
          <w:rFonts w:ascii="Calibri" w:hAnsi="Calibri" w:cs="Calibri"/>
          <w:b/>
          <w:bCs/>
          <w:color w:val="1F3864"/>
        </w:rPr>
        <w:lastRenderedPageBreak/>
        <w:t xml:space="preserve">Odbiorcy danych. </w:t>
      </w:r>
      <w:r w:rsidRPr="00C347FC">
        <w:rPr>
          <w:rFonts w:ascii="Calibri" w:hAnsi="Calibri" w:cs="Calibri"/>
        </w:rPr>
        <w:t>Odbiorcami danych mogą być podmioty przetwarzające dane na zlecenie Administratora na podstawie umów powierzenia (m.in. dostawcy i serwisanci systemów teleinformatycznych, podmioty świadczące obsługę prawną, informatyczną lub pocztową), banki i operatorzy płatności – w zakresie niezbędnym do realizacji rozliczeń, a także podmioty uprawnione do uzyskania danych na podstawie przepisów prawa (m.in. organy kontroli, w tym Regionalna Izba Obrachunkowa i Najwyższa Izba Kontroli, sądy, organy egzekucyjne oraz podmioty wnioskujące o dostęp do informacji publicznej). W przypadku umów podlegających rejestracji w CRU JSFP odbiorcą danych jest nieograniczony krąg podmiotów, ponieważ rejestr jest jawny i powszechnie dostępny, oraz Minister Finansów jako podmiot zapewniający funkcjonowanie systemu teleinformatycznego rejestru (art. 34b ust. 1 i ust. 8 ustawy o finansach publicznych).</w:t>
      </w:r>
    </w:p>
    <w:p w14:paraId="004AF282" w14:textId="77777777" w:rsidR="00397565" w:rsidRPr="00C347FC" w:rsidRDefault="00000000" w:rsidP="00AA75B2">
      <w:pPr>
        <w:pStyle w:val="Akapitzlist"/>
        <w:numPr>
          <w:ilvl w:val="0"/>
          <w:numId w:val="2"/>
        </w:numPr>
        <w:spacing w:after="40" w:line="264" w:lineRule="auto"/>
        <w:jc w:val="both"/>
        <w:rPr>
          <w:rFonts w:ascii="Calibri" w:hAnsi="Calibri" w:cs="Calibri"/>
        </w:rPr>
      </w:pPr>
      <w:r w:rsidRPr="00C347FC">
        <w:rPr>
          <w:rFonts w:ascii="Calibri" w:hAnsi="Calibri" w:cs="Calibri"/>
          <w:b/>
          <w:bCs/>
          <w:color w:val="1F3864"/>
        </w:rPr>
        <w:t xml:space="preserve">Przekazywanie do państwa trzeciego. </w:t>
      </w:r>
      <w:r w:rsidRPr="00C347FC">
        <w:rPr>
          <w:rFonts w:ascii="Calibri" w:hAnsi="Calibri" w:cs="Calibri"/>
        </w:rPr>
        <w:t>Dane nie są przekazywane do państwa trzeciego ani do organizacji międzynarodowej.</w:t>
      </w:r>
    </w:p>
    <w:p w14:paraId="564604FF" w14:textId="4D61CF93" w:rsidR="00397565" w:rsidRPr="00C347FC" w:rsidRDefault="00000000" w:rsidP="00AA75B2">
      <w:pPr>
        <w:pStyle w:val="Akapitzlist"/>
        <w:numPr>
          <w:ilvl w:val="0"/>
          <w:numId w:val="2"/>
        </w:numPr>
        <w:spacing w:after="40" w:line="264" w:lineRule="auto"/>
        <w:jc w:val="both"/>
        <w:rPr>
          <w:rFonts w:ascii="Calibri" w:hAnsi="Calibri" w:cs="Calibri"/>
        </w:rPr>
      </w:pPr>
      <w:r w:rsidRPr="00C347FC">
        <w:rPr>
          <w:rFonts w:ascii="Calibri" w:hAnsi="Calibri" w:cs="Calibri"/>
          <w:b/>
          <w:bCs/>
          <w:color w:val="1F3864"/>
        </w:rPr>
        <w:t xml:space="preserve">Okres przechowywania danych. </w:t>
      </w:r>
      <w:r w:rsidRPr="00C347FC">
        <w:rPr>
          <w:rFonts w:ascii="Calibri" w:hAnsi="Calibri" w:cs="Calibri"/>
        </w:rPr>
        <w:t>Dane przechowywane są przez okres niezbędny do wykonania umowy, a następnie przez okres wynikający z przepisów o rachunkowości i prawa podatkowego oraz z przepisów o narodowym zasobie archiwalnym i archiwach (zgodnie z obowiązującą kategorią archiwalną), nie krócej niż do upływu terminów przedawnienia roszczeń wynikających z umowy. W przypadku umów podlegających rejestracji w CRU JSFP informacje o umowie usuwa się z rejestru po upływie pięciu lat, licząc od końca roku, w którym umowa przestała obowiązywać (art. 34b ust. 6 ustawy o finansach publicznych); usunięcie wpisu z rejestru nie zwalnia z odrębnych obowiązków archiwalnych Administratora.</w:t>
      </w:r>
    </w:p>
    <w:p w14:paraId="573A8513" w14:textId="1D27571C" w:rsidR="00397565" w:rsidRPr="00C347FC" w:rsidRDefault="00000000" w:rsidP="00AA75B2">
      <w:pPr>
        <w:pStyle w:val="Akapitzlist"/>
        <w:numPr>
          <w:ilvl w:val="0"/>
          <w:numId w:val="2"/>
        </w:numPr>
        <w:spacing w:after="40" w:line="264" w:lineRule="auto"/>
        <w:jc w:val="both"/>
        <w:rPr>
          <w:rFonts w:ascii="Calibri" w:hAnsi="Calibri" w:cs="Calibri"/>
        </w:rPr>
      </w:pPr>
      <w:r w:rsidRPr="00C347FC">
        <w:rPr>
          <w:rFonts w:ascii="Calibri" w:hAnsi="Calibri" w:cs="Calibri"/>
          <w:b/>
          <w:bCs/>
          <w:color w:val="1F3864"/>
        </w:rPr>
        <w:t xml:space="preserve">Prawa osoby, której dane dotyczą. </w:t>
      </w:r>
      <w:r w:rsidRPr="00C347FC">
        <w:rPr>
          <w:rFonts w:ascii="Calibri" w:hAnsi="Calibri" w:cs="Calibri"/>
        </w:rPr>
        <w:t>Przysługuje Pani/Panu prawo dostępu do danych (art. 15 RODO), ich sprostowania (art. 16 RODO) oraz żądania ograniczenia przetwarzania (art. 18 RODO). Prawo do usunięcia danych (art. 17 RODO) jest ograniczone w zakresie niezbędnym do wypełnienia obowiązku prawnego i wykonania zadania realizowanego w interesie publicznym (art. 17 ust. 3 lit. b RODO) – dane usuwane są wyłącznie po upływie okresów wskazanych powyżej. Prawo do przenoszenia danych (art. 20 RODO) nie ma zastosowania, a prawo sprzeciwu (art. 21 RODO) podlega ograniczeniu z uwagi na nadrzędny interes publiczny w postaci ustawowej jawności. Przysługuje Pani/Panu prawo wniesienia skargi do Prezesa Urzędu Ochrony Danych Osobowych).</w:t>
      </w:r>
    </w:p>
    <w:p w14:paraId="7B101B57" w14:textId="77777777" w:rsidR="00397565" w:rsidRPr="00C347FC" w:rsidRDefault="00000000" w:rsidP="00AA75B2">
      <w:pPr>
        <w:pStyle w:val="Akapitzlist"/>
        <w:numPr>
          <w:ilvl w:val="0"/>
          <w:numId w:val="2"/>
        </w:numPr>
        <w:spacing w:after="40" w:line="264" w:lineRule="auto"/>
        <w:jc w:val="both"/>
        <w:rPr>
          <w:rFonts w:ascii="Calibri" w:hAnsi="Calibri" w:cs="Calibri"/>
        </w:rPr>
      </w:pPr>
      <w:r w:rsidRPr="00C347FC">
        <w:rPr>
          <w:rFonts w:ascii="Calibri" w:hAnsi="Calibri" w:cs="Calibri"/>
          <w:b/>
          <w:bCs/>
          <w:color w:val="1F3864"/>
        </w:rPr>
        <w:t xml:space="preserve">Obowiązek podania danych. </w:t>
      </w:r>
      <w:r w:rsidRPr="00C347FC">
        <w:rPr>
          <w:rFonts w:ascii="Calibri" w:hAnsi="Calibri" w:cs="Calibri"/>
        </w:rPr>
        <w:t>Podanie danych jest warunkiem zawarcia i realizacji umowy; w zakresie umów podlegających rejestracji w CRU JSFP podanie danych jest wymogiem ustawowym związanym z ich publikacją. Konsekwencją niepodania danych może być brak możliwości zawarcia lub realizacji umowy.</w:t>
      </w:r>
    </w:p>
    <w:p w14:paraId="33F5D8F5" w14:textId="7F661BCE" w:rsidR="00397565" w:rsidRPr="00C347FC" w:rsidRDefault="00000000" w:rsidP="00AA75B2">
      <w:pPr>
        <w:pStyle w:val="Akapitzlist"/>
        <w:numPr>
          <w:ilvl w:val="0"/>
          <w:numId w:val="2"/>
        </w:numPr>
        <w:spacing w:after="40" w:line="264" w:lineRule="auto"/>
        <w:jc w:val="both"/>
        <w:rPr>
          <w:rFonts w:ascii="Calibri" w:hAnsi="Calibri" w:cs="Calibri"/>
        </w:rPr>
      </w:pPr>
      <w:r w:rsidRPr="00C347FC">
        <w:rPr>
          <w:rFonts w:ascii="Calibri" w:hAnsi="Calibri" w:cs="Calibri"/>
          <w:b/>
          <w:bCs/>
          <w:color w:val="1F3864"/>
        </w:rPr>
        <w:t xml:space="preserve">Zautomatyzowane podejmowanie decyzji. </w:t>
      </w:r>
      <w:r w:rsidRPr="00C347FC">
        <w:rPr>
          <w:rFonts w:ascii="Calibri" w:hAnsi="Calibri" w:cs="Calibri"/>
        </w:rPr>
        <w:t>Dane nie są wykorzystywane do zautomatyzowanego podejmowania decyzji, w tym profilowania.</w:t>
      </w:r>
    </w:p>
    <w:p w14:paraId="79910EAF" w14:textId="70460739" w:rsidR="00397565" w:rsidRPr="00C347FC" w:rsidRDefault="00397565">
      <w:pPr>
        <w:pBdr>
          <w:top w:val="single" w:sz="4" w:space="6" w:color="C9A227"/>
        </w:pBdr>
        <w:spacing w:before="200"/>
        <w:rPr>
          <w:rFonts w:ascii="Calibri" w:hAnsi="Calibri" w:cs="Calibri"/>
        </w:rPr>
      </w:pPr>
    </w:p>
    <w:sectPr w:rsidR="00397565" w:rsidRPr="00C347FC" w:rsidSect="00C347FC">
      <w:pgSz w:w="11906" w:h="16838"/>
      <w:pgMar w:top="709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3AE6"/>
    <w:multiLevelType w:val="hybridMultilevel"/>
    <w:tmpl w:val="725EF8E4"/>
    <w:lvl w:ilvl="0" w:tplc="F1644896">
      <w:start w:val="1"/>
      <w:numFmt w:val="decimal"/>
      <w:lvlText w:val="%1."/>
      <w:lvlJc w:val="left"/>
      <w:pPr>
        <w:ind w:left="425" w:hanging="340"/>
      </w:pPr>
    </w:lvl>
    <w:lvl w:ilvl="1" w:tplc="3146971E">
      <w:numFmt w:val="decimal"/>
      <w:lvlText w:val=""/>
      <w:lvlJc w:val="left"/>
    </w:lvl>
    <w:lvl w:ilvl="2" w:tplc="E2FEC1AC">
      <w:numFmt w:val="decimal"/>
      <w:lvlText w:val=""/>
      <w:lvlJc w:val="left"/>
    </w:lvl>
    <w:lvl w:ilvl="3" w:tplc="9A24F0F8">
      <w:numFmt w:val="decimal"/>
      <w:lvlText w:val=""/>
      <w:lvlJc w:val="left"/>
    </w:lvl>
    <w:lvl w:ilvl="4" w:tplc="E5BCED90">
      <w:numFmt w:val="decimal"/>
      <w:lvlText w:val=""/>
      <w:lvlJc w:val="left"/>
    </w:lvl>
    <w:lvl w:ilvl="5" w:tplc="4FBE98EA">
      <w:numFmt w:val="decimal"/>
      <w:lvlText w:val=""/>
      <w:lvlJc w:val="left"/>
    </w:lvl>
    <w:lvl w:ilvl="6" w:tplc="F09A0C28">
      <w:numFmt w:val="decimal"/>
      <w:lvlText w:val=""/>
      <w:lvlJc w:val="left"/>
    </w:lvl>
    <w:lvl w:ilvl="7" w:tplc="C3CE30CC">
      <w:numFmt w:val="decimal"/>
      <w:lvlText w:val=""/>
      <w:lvlJc w:val="left"/>
    </w:lvl>
    <w:lvl w:ilvl="8" w:tplc="4ECC827A">
      <w:numFmt w:val="decimal"/>
      <w:lvlText w:val=""/>
      <w:lvlJc w:val="left"/>
    </w:lvl>
  </w:abstractNum>
  <w:abstractNum w:abstractNumId="1" w15:restartNumberingAfterBreak="0">
    <w:nsid w:val="23925329"/>
    <w:multiLevelType w:val="hybridMultilevel"/>
    <w:tmpl w:val="0332F104"/>
    <w:lvl w:ilvl="0" w:tplc="C9AEB99A">
      <w:start w:val="1"/>
      <w:numFmt w:val="bullet"/>
      <w:lvlText w:val="●"/>
      <w:lvlJc w:val="left"/>
      <w:pPr>
        <w:ind w:left="720" w:hanging="360"/>
      </w:pPr>
    </w:lvl>
    <w:lvl w:ilvl="1" w:tplc="EBBA00A0">
      <w:start w:val="1"/>
      <w:numFmt w:val="bullet"/>
      <w:lvlText w:val="○"/>
      <w:lvlJc w:val="left"/>
      <w:pPr>
        <w:ind w:left="1440" w:hanging="360"/>
      </w:pPr>
    </w:lvl>
    <w:lvl w:ilvl="2" w:tplc="5804002A">
      <w:start w:val="1"/>
      <w:numFmt w:val="bullet"/>
      <w:lvlText w:val="■"/>
      <w:lvlJc w:val="left"/>
      <w:pPr>
        <w:ind w:left="2160" w:hanging="360"/>
      </w:pPr>
    </w:lvl>
    <w:lvl w:ilvl="3" w:tplc="C2328FF4">
      <w:start w:val="1"/>
      <w:numFmt w:val="bullet"/>
      <w:lvlText w:val="●"/>
      <w:lvlJc w:val="left"/>
      <w:pPr>
        <w:ind w:left="2880" w:hanging="360"/>
      </w:pPr>
    </w:lvl>
    <w:lvl w:ilvl="4" w:tplc="10722E54">
      <w:start w:val="1"/>
      <w:numFmt w:val="bullet"/>
      <w:lvlText w:val="○"/>
      <w:lvlJc w:val="left"/>
      <w:pPr>
        <w:ind w:left="3600" w:hanging="360"/>
      </w:pPr>
    </w:lvl>
    <w:lvl w:ilvl="5" w:tplc="C3540A10">
      <w:start w:val="1"/>
      <w:numFmt w:val="bullet"/>
      <w:lvlText w:val="■"/>
      <w:lvlJc w:val="left"/>
      <w:pPr>
        <w:ind w:left="4320" w:hanging="360"/>
      </w:pPr>
    </w:lvl>
    <w:lvl w:ilvl="6" w:tplc="5BC2AB30">
      <w:start w:val="1"/>
      <w:numFmt w:val="bullet"/>
      <w:lvlText w:val="●"/>
      <w:lvlJc w:val="left"/>
      <w:pPr>
        <w:ind w:left="5040" w:hanging="360"/>
      </w:pPr>
    </w:lvl>
    <w:lvl w:ilvl="7" w:tplc="BAB0AB6E">
      <w:start w:val="1"/>
      <w:numFmt w:val="bullet"/>
      <w:lvlText w:val="●"/>
      <w:lvlJc w:val="left"/>
      <w:pPr>
        <w:ind w:left="5760" w:hanging="360"/>
      </w:pPr>
    </w:lvl>
    <w:lvl w:ilvl="8" w:tplc="4EC0818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D247B91"/>
    <w:multiLevelType w:val="hybridMultilevel"/>
    <w:tmpl w:val="5C28D664"/>
    <w:lvl w:ilvl="0" w:tplc="6E72778A">
      <w:start w:val="1"/>
      <w:numFmt w:val="lowerLetter"/>
      <w:lvlText w:val="%1)"/>
      <w:lvlJc w:val="left"/>
      <w:pPr>
        <w:ind w:left="851" w:hanging="340"/>
      </w:pPr>
    </w:lvl>
    <w:lvl w:ilvl="1" w:tplc="7CB83502">
      <w:numFmt w:val="decimal"/>
      <w:lvlText w:val=""/>
      <w:lvlJc w:val="left"/>
    </w:lvl>
    <w:lvl w:ilvl="2" w:tplc="02802764">
      <w:numFmt w:val="decimal"/>
      <w:lvlText w:val=""/>
      <w:lvlJc w:val="left"/>
    </w:lvl>
    <w:lvl w:ilvl="3" w:tplc="9F12F006">
      <w:numFmt w:val="decimal"/>
      <w:lvlText w:val=""/>
      <w:lvlJc w:val="left"/>
    </w:lvl>
    <w:lvl w:ilvl="4" w:tplc="BA1E98E6">
      <w:numFmt w:val="decimal"/>
      <w:lvlText w:val=""/>
      <w:lvlJc w:val="left"/>
    </w:lvl>
    <w:lvl w:ilvl="5" w:tplc="4F503CA2">
      <w:numFmt w:val="decimal"/>
      <w:lvlText w:val=""/>
      <w:lvlJc w:val="left"/>
    </w:lvl>
    <w:lvl w:ilvl="6" w:tplc="6A188E46">
      <w:numFmt w:val="decimal"/>
      <w:lvlText w:val=""/>
      <w:lvlJc w:val="left"/>
    </w:lvl>
    <w:lvl w:ilvl="7" w:tplc="B77A6974">
      <w:numFmt w:val="decimal"/>
      <w:lvlText w:val=""/>
      <w:lvlJc w:val="left"/>
    </w:lvl>
    <w:lvl w:ilvl="8" w:tplc="F980384E">
      <w:numFmt w:val="decimal"/>
      <w:lvlText w:val=""/>
      <w:lvlJc w:val="left"/>
    </w:lvl>
  </w:abstractNum>
  <w:num w:numId="1" w16cid:durableId="1267347504">
    <w:abstractNumId w:val="1"/>
    <w:lvlOverride w:ilvl="0">
      <w:startOverride w:val="1"/>
    </w:lvlOverride>
  </w:num>
  <w:num w:numId="2" w16cid:durableId="1479611155">
    <w:abstractNumId w:val="0"/>
    <w:lvlOverride w:ilvl="0">
      <w:startOverride w:val="1"/>
    </w:lvlOverride>
  </w:num>
  <w:num w:numId="3" w16cid:durableId="154575675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65"/>
    <w:rsid w:val="002510D1"/>
    <w:rsid w:val="002F0A43"/>
    <w:rsid w:val="00397565"/>
    <w:rsid w:val="00450FF7"/>
    <w:rsid w:val="007623E2"/>
    <w:rsid w:val="008A1F8E"/>
    <w:rsid w:val="00A6229A"/>
    <w:rsid w:val="00AA75B2"/>
    <w:rsid w:val="00C347FC"/>
    <w:rsid w:val="00CA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0DD4"/>
  <w15:docId w15:val="{C5630098-FD55-41DA-876A-467C7D64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935</Words>
  <Characters>5613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– umowa (CRU JSFP)</dc:title>
  <dc:creator>Beata Duch-Kosiorek, Inspektor Ochrony Danych</dc:creator>
  <cp:lastModifiedBy>T. Lipska</cp:lastModifiedBy>
  <cp:revision>4</cp:revision>
  <dcterms:created xsi:type="dcterms:W3CDTF">2026-07-10T08:33:00Z</dcterms:created>
  <dcterms:modified xsi:type="dcterms:W3CDTF">2026-07-10T08:36:00Z</dcterms:modified>
</cp:coreProperties>
</file>