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AD4334B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>yborczy</w:t>
      </w:r>
    </w:p>
    <w:p w14:paraId="2EE9C4C9" w14:textId="32D75B3E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FD3C38">
        <w:rPr>
          <w:sz w:val="24"/>
          <w:szCs w:val="24"/>
        </w:rPr>
        <w:t>Ostrołęce II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7E283C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D3C38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T. Lipska</cp:lastModifiedBy>
  <cp:revision>2</cp:revision>
  <cp:lastPrinted>2025-01-07T09:31:00Z</cp:lastPrinted>
  <dcterms:created xsi:type="dcterms:W3CDTF">2025-01-20T15:56:00Z</dcterms:created>
  <dcterms:modified xsi:type="dcterms:W3CDTF">2025-01-20T15:56:00Z</dcterms:modified>
</cp:coreProperties>
</file>