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705496">
        <w:rPr>
          <w:rFonts w:ascii="Arial" w:hAnsi="Arial" w:cs="Arial"/>
          <w:sz w:val="26"/>
          <w:szCs w:val="26"/>
        </w:rPr>
        <w:t>ustalenia wysokości stawek podatku od środków transportowych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705496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4</cp:revision>
  <cp:lastPrinted>2021-11-15T07:13:00Z</cp:lastPrinted>
  <dcterms:created xsi:type="dcterms:W3CDTF">2020-11-04T08:27:00Z</dcterms:created>
  <dcterms:modified xsi:type="dcterms:W3CDTF">2021-11-15T07:13:00Z</dcterms:modified>
</cp:coreProperties>
</file>